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7964" w14:textId="5E6B5C2C" w:rsidR="00374C83" w:rsidRDefault="00672766" w:rsidP="00672766">
      <w:pPr>
        <w:pStyle w:val="Tableheading"/>
        <w:ind w:left="0" w:hanging="2"/>
      </w:pPr>
      <w:r w:rsidRPr="00672766">
        <w:t>CEFR Global Scale Descriptors</w:t>
      </w:r>
    </w:p>
    <w:p w14:paraId="57BBE730" w14:textId="116F3A8C" w:rsidR="00672766" w:rsidRPr="00672766" w:rsidRDefault="00672766">
      <w:pPr>
        <w:ind w:left="0" w:hanging="2"/>
        <w:rPr>
          <w:lang w:val="en-GB"/>
        </w:rPr>
      </w:pPr>
      <w:r>
        <w:rPr>
          <w:lang w:val="en-GB"/>
        </w:rPr>
        <w:t>(</w:t>
      </w:r>
      <w:proofErr w:type="gramStart"/>
      <w:r>
        <w:rPr>
          <w:lang w:val="en-GB"/>
        </w:rPr>
        <w:t>also</w:t>
      </w:r>
      <w:proofErr w:type="gramEnd"/>
      <w:r>
        <w:rPr>
          <w:lang w:val="en-GB"/>
        </w:rPr>
        <w:t xml:space="preserve"> available at </w:t>
      </w:r>
      <w:hyperlink r:id="rId4" w:history="1">
        <w:r w:rsidRPr="007F2569">
          <w:rPr>
            <w:rStyle w:val="Hyperlink"/>
            <w:lang w:val="en-GB"/>
          </w:rPr>
          <w:t>https://www.coe.int/en/web/common-european-framework-reference-languages/table-1-cefr-3.3-common-reference-levels-global-scale</w:t>
        </w:r>
      </w:hyperlink>
      <w:r>
        <w:rPr>
          <w:lang w:val="en-GB"/>
        </w:rPr>
        <w:t xml:space="preserve"> )</w:t>
      </w:r>
    </w:p>
    <w:p w14:paraId="2243A903" w14:textId="77777777" w:rsidR="00672766" w:rsidRPr="00672766" w:rsidRDefault="00672766" w:rsidP="00672766">
      <w:pPr>
        <w:tabs>
          <w:tab w:val="left" w:pos="0"/>
        </w:tabs>
        <w:spacing w:after="144"/>
        <w:ind w:left="0" w:hanging="2"/>
        <w:rPr>
          <w:lang w:val="en-GB"/>
        </w:rPr>
      </w:pPr>
    </w:p>
    <w:tbl>
      <w:tblPr>
        <w:tblW w:w="0" w:type="auto"/>
        <w:tblInd w:w="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51"/>
        <w:gridCol w:w="7201"/>
      </w:tblGrid>
      <w:tr w:rsidR="00672766" w:rsidRPr="00672766" w14:paraId="488D88CE" w14:textId="77777777" w:rsidTr="00813A96">
        <w:tblPrEx>
          <w:tblCellMar>
            <w:top w:w="0" w:type="dxa"/>
            <w:bottom w:w="0" w:type="dxa"/>
          </w:tblCellMar>
        </w:tblPrEx>
        <w:trPr>
          <w:cantSplit/>
        </w:trPr>
        <w:tc>
          <w:tcPr>
            <w:tcW w:w="1418" w:type="dxa"/>
            <w:vMerge w:val="restart"/>
            <w:tcBorders>
              <w:bottom w:val="nil"/>
            </w:tcBorders>
            <w:textDirection w:val="btLr"/>
            <w:vAlign w:val="center"/>
          </w:tcPr>
          <w:p w14:paraId="18B795AF" w14:textId="77777777" w:rsidR="00672766" w:rsidRPr="00672766" w:rsidRDefault="00672766" w:rsidP="00813A96">
            <w:pPr>
              <w:numPr>
                <w:ilvl w:val="12"/>
                <w:numId w:val="0"/>
              </w:numPr>
              <w:spacing w:before="60" w:after="60"/>
              <w:ind w:left="113" w:right="113"/>
              <w:jc w:val="center"/>
              <w:rPr>
                <w:b/>
                <w:sz w:val="24"/>
                <w:lang w:val="en-GB"/>
              </w:rPr>
            </w:pPr>
            <w:proofErr w:type="gramStart"/>
            <w:r w:rsidRPr="00672766">
              <w:rPr>
                <w:b/>
                <w:sz w:val="24"/>
                <w:lang w:val="en-GB"/>
              </w:rPr>
              <w:t>Proficient  User</w:t>
            </w:r>
            <w:proofErr w:type="gramEnd"/>
          </w:p>
        </w:tc>
        <w:tc>
          <w:tcPr>
            <w:tcW w:w="851" w:type="dxa"/>
          </w:tcPr>
          <w:p w14:paraId="55F619E3" w14:textId="77777777" w:rsidR="00672766" w:rsidRPr="00672766" w:rsidRDefault="00672766" w:rsidP="00813A96">
            <w:pPr>
              <w:numPr>
                <w:ilvl w:val="12"/>
                <w:numId w:val="0"/>
              </w:numPr>
              <w:spacing w:before="240" w:after="60"/>
              <w:rPr>
                <w:b/>
                <w:lang w:val="en-GB"/>
              </w:rPr>
            </w:pPr>
            <w:r w:rsidRPr="00672766">
              <w:rPr>
                <w:b/>
                <w:lang w:val="en-GB"/>
              </w:rPr>
              <w:t>C2</w:t>
            </w:r>
          </w:p>
        </w:tc>
        <w:tc>
          <w:tcPr>
            <w:tcW w:w="7201" w:type="dxa"/>
          </w:tcPr>
          <w:p w14:paraId="5D4C05F6" w14:textId="77777777" w:rsidR="00672766" w:rsidRPr="00672766" w:rsidRDefault="00672766" w:rsidP="00813A96">
            <w:pPr>
              <w:numPr>
                <w:ilvl w:val="12"/>
                <w:numId w:val="0"/>
              </w:numPr>
              <w:rPr>
                <w:lang w:val="en-GB"/>
              </w:rPr>
            </w:pPr>
            <w:r w:rsidRPr="00672766">
              <w:rPr>
                <w:lang w:val="en-GB"/>
              </w:rPr>
              <w:t xml:space="preserve">Can understand with ease virtually everything heard or read. Can summarise information from different spoken and written sources, reconstructing </w:t>
            </w:r>
            <w:proofErr w:type="gramStart"/>
            <w:r w:rsidRPr="00672766">
              <w:rPr>
                <w:lang w:val="en-GB"/>
              </w:rPr>
              <w:t>arguments</w:t>
            </w:r>
            <w:proofErr w:type="gramEnd"/>
            <w:r w:rsidRPr="00672766">
              <w:rPr>
                <w:lang w:val="en-GB"/>
              </w:rPr>
              <w:t xml:space="preserve"> and accounts in a coherent presentation. Can express him/herself spontaneously, very fluently and precisely, differentiating finer shades of meaning even in more complex situations.</w:t>
            </w:r>
          </w:p>
        </w:tc>
      </w:tr>
      <w:tr w:rsidR="00672766" w:rsidRPr="00672766" w14:paraId="1BD76FCB" w14:textId="77777777" w:rsidTr="00813A96">
        <w:tblPrEx>
          <w:tblCellMar>
            <w:top w:w="0" w:type="dxa"/>
            <w:bottom w:w="0" w:type="dxa"/>
          </w:tblCellMar>
        </w:tblPrEx>
        <w:trPr>
          <w:cantSplit/>
        </w:trPr>
        <w:tc>
          <w:tcPr>
            <w:tcW w:w="1418" w:type="dxa"/>
            <w:vMerge/>
            <w:tcBorders>
              <w:top w:val="nil"/>
              <w:bottom w:val="nil"/>
            </w:tcBorders>
            <w:vAlign w:val="center"/>
          </w:tcPr>
          <w:p w14:paraId="78C629E3" w14:textId="77777777" w:rsidR="00672766" w:rsidRPr="00672766" w:rsidRDefault="00672766" w:rsidP="00813A96">
            <w:pPr>
              <w:numPr>
                <w:ilvl w:val="12"/>
                <w:numId w:val="0"/>
              </w:numPr>
              <w:spacing w:before="60" w:after="60"/>
              <w:jc w:val="center"/>
              <w:rPr>
                <w:b/>
                <w:lang w:val="en-GB"/>
              </w:rPr>
            </w:pPr>
          </w:p>
        </w:tc>
        <w:tc>
          <w:tcPr>
            <w:tcW w:w="851" w:type="dxa"/>
          </w:tcPr>
          <w:p w14:paraId="6541EE9C" w14:textId="77777777" w:rsidR="00672766" w:rsidRPr="00672766" w:rsidRDefault="00672766" w:rsidP="00813A96">
            <w:pPr>
              <w:numPr>
                <w:ilvl w:val="12"/>
                <w:numId w:val="0"/>
              </w:numPr>
              <w:spacing w:before="240" w:after="60"/>
              <w:rPr>
                <w:b/>
                <w:lang w:val="en-GB"/>
              </w:rPr>
            </w:pPr>
            <w:r w:rsidRPr="00672766">
              <w:rPr>
                <w:b/>
                <w:lang w:val="en-GB"/>
              </w:rPr>
              <w:t>C1</w:t>
            </w:r>
          </w:p>
        </w:tc>
        <w:tc>
          <w:tcPr>
            <w:tcW w:w="7201" w:type="dxa"/>
          </w:tcPr>
          <w:p w14:paraId="2D6BCE55" w14:textId="77777777" w:rsidR="00672766" w:rsidRPr="00672766" w:rsidRDefault="00672766" w:rsidP="00813A96">
            <w:pPr>
              <w:pStyle w:val="Datum"/>
              <w:widowControl/>
              <w:numPr>
                <w:ilvl w:val="12"/>
                <w:numId w:val="0"/>
              </w:numPr>
              <w:tabs>
                <w:tab w:val="clear" w:pos="-720"/>
              </w:tabs>
              <w:suppressAutoHyphens w:val="0"/>
              <w:spacing w:before="120"/>
              <w:rPr>
                <w:rFonts w:cs="Arial"/>
                <w:lang w:val="en-GB"/>
              </w:rPr>
            </w:pPr>
            <w:r w:rsidRPr="00672766">
              <w:rPr>
                <w:rFonts w:cs="Arial"/>
                <w:lang w:val="en-GB"/>
              </w:rPr>
              <w:t xml:space="preserve">Can understand a wide range of demanding, longer texts, and recognise implicit meaning. Can express him/herself fluently and spontaneously without much obvious searching for expressions. Can use language flexibly and effectively for social, </w:t>
            </w:r>
            <w:proofErr w:type="gramStart"/>
            <w:r w:rsidRPr="00672766">
              <w:rPr>
                <w:rFonts w:cs="Arial"/>
                <w:lang w:val="en-GB"/>
              </w:rPr>
              <w:t>academic</w:t>
            </w:r>
            <w:proofErr w:type="gramEnd"/>
            <w:r w:rsidRPr="00672766">
              <w:rPr>
                <w:rFonts w:cs="Arial"/>
                <w:lang w:val="en-GB"/>
              </w:rPr>
              <w:t xml:space="preserve"> and professional purposes. Can produce clear, well-structured, detailed text on complex subjects, showing controlled use of organisational patterns, </w:t>
            </w:r>
            <w:proofErr w:type="gramStart"/>
            <w:r w:rsidRPr="00672766">
              <w:rPr>
                <w:rFonts w:cs="Arial"/>
                <w:lang w:val="en-GB"/>
              </w:rPr>
              <w:t>connectors</w:t>
            </w:r>
            <w:proofErr w:type="gramEnd"/>
            <w:r w:rsidRPr="00672766">
              <w:rPr>
                <w:rFonts w:cs="Arial"/>
                <w:lang w:val="en-GB"/>
              </w:rPr>
              <w:t xml:space="preserve"> and cohesive devices.</w:t>
            </w:r>
          </w:p>
        </w:tc>
      </w:tr>
      <w:tr w:rsidR="00672766" w:rsidRPr="00672766" w14:paraId="4AB4970C" w14:textId="77777777" w:rsidTr="00813A96">
        <w:tblPrEx>
          <w:tblCellMar>
            <w:top w:w="0" w:type="dxa"/>
            <w:bottom w:w="0" w:type="dxa"/>
          </w:tblCellMar>
        </w:tblPrEx>
        <w:trPr>
          <w:cantSplit/>
        </w:trPr>
        <w:tc>
          <w:tcPr>
            <w:tcW w:w="1418" w:type="dxa"/>
            <w:vMerge w:val="restart"/>
            <w:tcBorders>
              <w:bottom w:val="nil"/>
            </w:tcBorders>
            <w:textDirection w:val="btLr"/>
            <w:vAlign w:val="center"/>
          </w:tcPr>
          <w:p w14:paraId="32E87B37" w14:textId="77777777" w:rsidR="00672766" w:rsidRPr="00672766" w:rsidRDefault="00672766" w:rsidP="00813A96">
            <w:pPr>
              <w:numPr>
                <w:ilvl w:val="12"/>
                <w:numId w:val="0"/>
              </w:numPr>
              <w:spacing w:before="60" w:after="60"/>
              <w:ind w:left="113" w:right="113"/>
              <w:jc w:val="center"/>
              <w:rPr>
                <w:b/>
                <w:sz w:val="24"/>
                <w:lang w:val="en-GB"/>
              </w:rPr>
            </w:pPr>
            <w:r w:rsidRPr="00672766">
              <w:rPr>
                <w:b/>
                <w:sz w:val="24"/>
                <w:lang w:val="en-GB"/>
              </w:rPr>
              <w:t>Independent User</w:t>
            </w:r>
          </w:p>
        </w:tc>
        <w:tc>
          <w:tcPr>
            <w:tcW w:w="851" w:type="dxa"/>
          </w:tcPr>
          <w:p w14:paraId="1BCBB6DD" w14:textId="77777777" w:rsidR="00672766" w:rsidRPr="00672766" w:rsidRDefault="00672766" w:rsidP="00813A96">
            <w:pPr>
              <w:numPr>
                <w:ilvl w:val="12"/>
                <w:numId w:val="0"/>
              </w:numPr>
              <w:spacing w:before="240" w:after="60"/>
              <w:rPr>
                <w:b/>
                <w:lang w:val="en-GB"/>
              </w:rPr>
            </w:pPr>
            <w:r w:rsidRPr="00672766">
              <w:rPr>
                <w:b/>
                <w:lang w:val="en-GB"/>
              </w:rPr>
              <w:t>B2</w:t>
            </w:r>
          </w:p>
        </w:tc>
        <w:tc>
          <w:tcPr>
            <w:tcW w:w="7201" w:type="dxa"/>
          </w:tcPr>
          <w:p w14:paraId="7132F381" w14:textId="77777777" w:rsidR="00672766" w:rsidRPr="00672766" w:rsidRDefault="00672766" w:rsidP="00813A96">
            <w:pPr>
              <w:numPr>
                <w:ilvl w:val="12"/>
                <w:numId w:val="0"/>
              </w:numPr>
              <w:rPr>
                <w:lang w:val="en-GB"/>
              </w:rPr>
            </w:pPr>
            <w:r w:rsidRPr="00672766">
              <w:rPr>
                <w:lang w:val="en-GB"/>
              </w:rP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672766" w:rsidRPr="00672766" w14:paraId="2F1A31DB" w14:textId="77777777" w:rsidTr="00813A96">
        <w:tblPrEx>
          <w:tblCellMar>
            <w:top w:w="0" w:type="dxa"/>
            <w:bottom w:w="0" w:type="dxa"/>
          </w:tblCellMar>
        </w:tblPrEx>
        <w:trPr>
          <w:cantSplit/>
        </w:trPr>
        <w:tc>
          <w:tcPr>
            <w:tcW w:w="1418" w:type="dxa"/>
            <w:vMerge/>
            <w:tcBorders>
              <w:top w:val="nil"/>
              <w:bottom w:val="nil"/>
            </w:tcBorders>
            <w:vAlign w:val="center"/>
          </w:tcPr>
          <w:p w14:paraId="0D137284" w14:textId="77777777" w:rsidR="00672766" w:rsidRPr="00672766" w:rsidRDefault="00672766" w:rsidP="00813A96">
            <w:pPr>
              <w:numPr>
                <w:ilvl w:val="12"/>
                <w:numId w:val="0"/>
              </w:numPr>
              <w:spacing w:before="60" w:after="60"/>
              <w:jc w:val="center"/>
              <w:rPr>
                <w:b/>
                <w:lang w:val="en-GB"/>
              </w:rPr>
            </w:pPr>
          </w:p>
        </w:tc>
        <w:tc>
          <w:tcPr>
            <w:tcW w:w="851" w:type="dxa"/>
          </w:tcPr>
          <w:p w14:paraId="3E1CEC8C" w14:textId="77777777" w:rsidR="00672766" w:rsidRPr="00672766" w:rsidRDefault="00672766" w:rsidP="00813A96">
            <w:pPr>
              <w:numPr>
                <w:ilvl w:val="12"/>
                <w:numId w:val="0"/>
              </w:numPr>
              <w:spacing w:before="240" w:after="60"/>
              <w:rPr>
                <w:b/>
                <w:lang w:val="en-GB"/>
              </w:rPr>
            </w:pPr>
            <w:r w:rsidRPr="00672766">
              <w:rPr>
                <w:b/>
                <w:lang w:val="en-GB"/>
              </w:rPr>
              <w:t>B1</w:t>
            </w:r>
          </w:p>
        </w:tc>
        <w:tc>
          <w:tcPr>
            <w:tcW w:w="7201" w:type="dxa"/>
          </w:tcPr>
          <w:p w14:paraId="76AB9258" w14:textId="77777777" w:rsidR="00672766" w:rsidRPr="00672766" w:rsidRDefault="00672766" w:rsidP="00813A96">
            <w:pPr>
              <w:numPr>
                <w:ilvl w:val="12"/>
                <w:numId w:val="0"/>
              </w:numPr>
              <w:rPr>
                <w:lang w:val="en-GB"/>
              </w:rPr>
            </w:pPr>
            <w:r w:rsidRPr="00672766">
              <w:rPr>
                <w:lang w:val="en-GB"/>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672766" w:rsidRPr="00672766" w14:paraId="3DE81EA9" w14:textId="77777777" w:rsidTr="00813A96">
        <w:tblPrEx>
          <w:tblCellMar>
            <w:top w:w="0" w:type="dxa"/>
            <w:bottom w:w="0" w:type="dxa"/>
          </w:tblCellMar>
        </w:tblPrEx>
        <w:trPr>
          <w:cantSplit/>
        </w:trPr>
        <w:tc>
          <w:tcPr>
            <w:tcW w:w="1418" w:type="dxa"/>
            <w:vMerge w:val="restart"/>
            <w:tcBorders>
              <w:bottom w:val="nil"/>
            </w:tcBorders>
            <w:textDirection w:val="btLr"/>
            <w:vAlign w:val="center"/>
          </w:tcPr>
          <w:p w14:paraId="1AF76A04" w14:textId="77777777" w:rsidR="00672766" w:rsidRPr="00672766" w:rsidRDefault="00672766" w:rsidP="00813A96">
            <w:pPr>
              <w:numPr>
                <w:ilvl w:val="12"/>
                <w:numId w:val="0"/>
              </w:numPr>
              <w:spacing w:before="60" w:after="60"/>
              <w:ind w:left="113" w:right="113"/>
              <w:jc w:val="center"/>
              <w:rPr>
                <w:b/>
                <w:sz w:val="24"/>
                <w:lang w:val="en-GB"/>
              </w:rPr>
            </w:pPr>
            <w:r w:rsidRPr="00672766">
              <w:rPr>
                <w:b/>
                <w:sz w:val="24"/>
                <w:lang w:val="en-GB"/>
              </w:rPr>
              <w:t>Basic User</w:t>
            </w:r>
          </w:p>
        </w:tc>
        <w:tc>
          <w:tcPr>
            <w:tcW w:w="851" w:type="dxa"/>
          </w:tcPr>
          <w:p w14:paraId="20AACB8F" w14:textId="77777777" w:rsidR="00672766" w:rsidRPr="00672766" w:rsidRDefault="00672766" w:rsidP="00813A96">
            <w:pPr>
              <w:numPr>
                <w:ilvl w:val="12"/>
                <w:numId w:val="0"/>
              </w:numPr>
              <w:spacing w:before="240" w:after="60"/>
              <w:rPr>
                <w:b/>
                <w:lang w:val="en-GB"/>
              </w:rPr>
            </w:pPr>
            <w:r w:rsidRPr="00672766">
              <w:rPr>
                <w:b/>
                <w:lang w:val="en-GB"/>
              </w:rPr>
              <w:t>A2</w:t>
            </w:r>
          </w:p>
        </w:tc>
        <w:tc>
          <w:tcPr>
            <w:tcW w:w="7201" w:type="dxa"/>
          </w:tcPr>
          <w:p w14:paraId="534FF7F4" w14:textId="77777777" w:rsidR="00672766" w:rsidRPr="00672766" w:rsidRDefault="00672766" w:rsidP="00813A96">
            <w:pPr>
              <w:numPr>
                <w:ilvl w:val="12"/>
                <w:numId w:val="0"/>
              </w:numPr>
              <w:rPr>
                <w:lang w:val="en-GB"/>
              </w:rPr>
            </w:pPr>
            <w:r w:rsidRPr="00672766">
              <w:rPr>
                <w:lang w:val="en-GB"/>
              </w:rPr>
              <w:t>Can understand sentences and frequently used expressions related to areas of most immediate relevance (</w:t>
            </w:r>
            <w:proofErr w:type="gramStart"/>
            <w:r w:rsidRPr="00672766">
              <w:rPr>
                <w:lang w:val="en-GB"/>
              </w:rPr>
              <w:t>e.g.</w:t>
            </w:r>
            <w:proofErr w:type="gramEnd"/>
            <w:r w:rsidRPr="00672766">
              <w:rPr>
                <w:lang w:val="en-GB"/>
              </w:rPr>
              <w:t xml:space="preserve">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672766" w:rsidRPr="00672766" w14:paraId="2BA2D69D" w14:textId="77777777" w:rsidTr="00813A96">
        <w:tblPrEx>
          <w:tblCellMar>
            <w:top w:w="0" w:type="dxa"/>
            <w:bottom w:w="0" w:type="dxa"/>
          </w:tblCellMar>
        </w:tblPrEx>
        <w:trPr>
          <w:cantSplit/>
        </w:trPr>
        <w:tc>
          <w:tcPr>
            <w:tcW w:w="1418" w:type="dxa"/>
            <w:vMerge/>
            <w:tcBorders>
              <w:top w:val="nil"/>
            </w:tcBorders>
            <w:vAlign w:val="center"/>
          </w:tcPr>
          <w:p w14:paraId="0CED1D21" w14:textId="77777777" w:rsidR="00672766" w:rsidRPr="00672766" w:rsidRDefault="00672766" w:rsidP="00813A96">
            <w:pPr>
              <w:numPr>
                <w:ilvl w:val="12"/>
                <w:numId w:val="0"/>
              </w:numPr>
              <w:spacing w:before="60" w:after="60"/>
              <w:jc w:val="center"/>
              <w:rPr>
                <w:b/>
                <w:lang w:val="en-GB"/>
              </w:rPr>
            </w:pPr>
          </w:p>
        </w:tc>
        <w:tc>
          <w:tcPr>
            <w:tcW w:w="851" w:type="dxa"/>
          </w:tcPr>
          <w:p w14:paraId="7F832565" w14:textId="77777777" w:rsidR="00672766" w:rsidRPr="00672766" w:rsidRDefault="00672766" w:rsidP="00813A96">
            <w:pPr>
              <w:numPr>
                <w:ilvl w:val="12"/>
                <w:numId w:val="0"/>
              </w:numPr>
              <w:spacing w:before="240" w:after="60"/>
              <w:rPr>
                <w:b/>
                <w:lang w:val="en-GB"/>
              </w:rPr>
            </w:pPr>
            <w:r w:rsidRPr="00672766">
              <w:rPr>
                <w:b/>
                <w:lang w:val="en-GB"/>
              </w:rPr>
              <w:t>A1</w:t>
            </w:r>
          </w:p>
        </w:tc>
        <w:tc>
          <w:tcPr>
            <w:tcW w:w="7201" w:type="dxa"/>
          </w:tcPr>
          <w:p w14:paraId="653E8C8C" w14:textId="77777777" w:rsidR="00672766" w:rsidRPr="00672766" w:rsidRDefault="00672766" w:rsidP="00813A96">
            <w:pPr>
              <w:pStyle w:val="NormalIndent"/>
              <w:numPr>
                <w:ilvl w:val="12"/>
                <w:numId w:val="0"/>
              </w:numPr>
              <w:spacing w:before="120"/>
              <w:rPr>
                <w:rFonts w:ascii="Arial" w:hAnsi="Arial" w:cs="Arial"/>
                <w:sz w:val="20"/>
              </w:rPr>
            </w:pPr>
            <w:r w:rsidRPr="00672766">
              <w:rPr>
                <w:rFonts w:ascii="Arial" w:hAnsi="Arial" w:cs="Arial"/>
                <w:sz w:val="20"/>
              </w:rP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2494B9F0" w14:textId="77777777" w:rsidR="00672766" w:rsidRPr="00672766" w:rsidRDefault="00672766">
      <w:pPr>
        <w:ind w:left="0" w:hanging="2"/>
        <w:rPr>
          <w:lang w:val="en-GB"/>
        </w:rPr>
      </w:pPr>
    </w:p>
    <w:sectPr w:rsidR="00672766" w:rsidRPr="00672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66"/>
    <w:rsid w:val="001C1832"/>
    <w:rsid w:val="00374C83"/>
    <w:rsid w:val="004D2526"/>
    <w:rsid w:val="00672766"/>
    <w:rsid w:val="007020A6"/>
    <w:rsid w:val="00B23448"/>
    <w:rsid w:val="00E7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B150"/>
  <w15:chartTrackingRefBased/>
  <w15:docId w15:val="{7468B72A-03B8-4B8B-B711-2C16D913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78"/>
    <w:pPr>
      <w:suppressAutoHyphens/>
      <w:spacing w:before="120" w:after="120" w:line="1" w:lineRule="atLeast"/>
      <w:ind w:leftChars="-1" w:left="-1" w:hangingChars="1" w:hanging="1"/>
      <w:textDirection w:val="btLr"/>
      <w:textAlignment w:val="top"/>
      <w:outlineLvl w:val="0"/>
    </w:pPr>
    <w:rPr>
      <w:rFonts w:ascii="Arial" w:hAnsi="Arial" w:cs="Arial"/>
      <w:position w:val="-1"/>
      <w:szCs w:val="24"/>
      <w:lang w:val="ru-RU" w:eastAsia="ru-RU"/>
    </w:rPr>
  </w:style>
  <w:style w:type="paragraph" w:styleId="Heading1">
    <w:name w:val="heading 1"/>
    <w:basedOn w:val="Normal"/>
    <w:next w:val="Normal"/>
    <w:link w:val="Heading1Char"/>
    <w:autoRedefine/>
    <w:uiPriority w:val="9"/>
    <w:qFormat/>
    <w:rsid w:val="001C1832"/>
    <w:pPr>
      <w:keepNext/>
      <w:keepLines/>
      <w:spacing w:before="240" w:after="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832"/>
    <w:rPr>
      <w:rFonts w:ascii="Arial" w:eastAsiaTheme="majorEastAsia" w:hAnsi="Arial" w:cstheme="majorBidi"/>
      <w:color w:val="2F5496" w:themeColor="accent1" w:themeShade="BF"/>
      <w:sz w:val="32"/>
      <w:szCs w:val="32"/>
    </w:rPr>
  </w:style>
  <w:style w:type="paragraph" w:customStyle="1" w:styleId="Tableheading">
    <w:name w:val="Table heading"/>
    <w:basedOn w:val="Normal"/>
    <w:link w:val="TableheadingChar"/>
    <w:autoRedefine/>
    <w:qFormat/>
    <w:rsid w:val="004D2526"/>
    <w:pPr>
      <w:widowControl w:val="0"/>
      <w:shd w:val="clear" w:color="auto" w:fill="4472C4" w:themeFill="accent1"/>
      <w:spacing w:after="0"/>
      <w:jc w:val="center"/>
    </w:pPr>
    <w:rPr>
      <w:rFonts w:eastAsia="Raleway" w:cs="Raleway"/>
      <w:b/>
      <w:color w:val="FFFFFF" w:themeColor="background1"/>
      <w:sz w:val="20"/>
      <w:lang w:val="pl-PL" w:eastAsia="en-GB"/>
    </w:rPr>
  </w:style>
  <w:style w:type="character" w:customStyle="1" w:styleId="TableheadingChar">
    <w:name w:val="Table heading Char"/>
    <w:basedOn w:val="DefaultParagraphFont"/>
    <w:link w:val="Tableheading"/>
    <w:rsid w:val="004D2526"/>
    <w:rPr>
      <w:rFonts w:ascii="Arial" w:eastAsia="Raleway" w:hAnsi="Arial" w:cs="Raleway"/>
      <w:b/>
      <w:color w:val="FFFFFF" w:themeColor="background1"/>
      <w:sz w:val="20"/>
      <w:szCs w:val="24"/>
      <w:shd w:val="clear" w:color="auto" w:fill="4472C4" w:themeFill="accent1"/>
      <w:lang w:val="pl-PL" w:eastAsia="en-GB"/>
    </w:rPr>
  </w:style>
  <w:style w:type="paragraph" w:styleId="TableofAuthorities">
    <w:name w:val="table of authorities"/>
    <w:basedOn w:val="Normal"/>
    <w:next w:val="Normal"/>
    <w:uiPriority w:val="99"/>
    <w:semiHidden/>
    <w:unhideWhenUsed/>
    <w:rsid w:val="00B23448"/>
    <w:pPr>
      <w:pBdr>
        <w:top w:val="nil"/>
        <w:left w:val="nil"/>
        <w:bottom w:val="nil"/>
        <w:right w:val="nil"/>
        <w:between w:val="nil"/>
        <w:bar w:val="nil"/>
      </w:pBdr>
      <w:suppressAutoHyphens w:val="0"/>
      <w:spacing w:before="0" w:after="0" w:line="240" w:lineRule="auto"/>
      <w:ind w:leftChars="0" w:left="0" w:firstLineChars="0" w:firstLine="0"/>
      <w:textDirection w:val="lrTb"/>
      <w:textAlignment w:val="auto"/>
      <w:outlineLvl w:val="9"/>
    </w:pPr>
    <w:rPr>
      <w:rFonts w:asciiTheme="minorHAnsi" w:eastAsia="Arial Unicode MS" w:hAnsiTheme="minorHAnsi" w:cs="Times New Roman"/>
      <w:position w:val="0"/>
      <w:bdr w:val="nil"/>
      <w:lang w:val="en-US" w:eastAsia="en-US"/>
    </w:rPr>
  </w:style>
  <w:style w:type="paragraph" w:styleId="NormalIndent">
    <w:name w:val="Normal Indent"/>
    <w:basedOn w:val="Normal"/>
    <w:rsid w:val="00672766"/>
    <w:pPr>
      <w:widowControl w:val="0"/>
      <w:tabs>
        <w:tab w:val="left" w:pos="-720"/>
      </w:tabs>
      <w:spacing w:before="0"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lang w:val="en-GB" w:eastAsia="en-US"/>
    </w:rPr>
  </w:style>
  <w:style w:type="paragraph" w:customStyle="1" w:styleId="Datum">
    <w:name w:val="Datum"/>
    <w:rsid w:val="00672766"/>
    <w:pPr>
      <w:widowControl w:val="0"/>
      <w:tabs>
        <w:tab w:val="left" w:pos="-720"/>
      </w:tabs>
      <w:suppressAutoHyphens/>
      <w:spacing w:after="0" w:line="240" w:lineRule="auto"/>
    </w:pPr>
    <w:rPr>
      <w:rFonts w:ascii="Arial" w:eastAsia="Times New Roman" w:hAnsi="Arial" w:cs="Times New Roman"/>
      <w:sz w:val="20"/>
      <w:szCs w:val="20"/>
      <w:lang w:val="de-DE"/>
    </w:rPr>
  </w:style>
  <w:style w:type="character" w:styleId="Hyperlink">
    <w:name w:val="Hyperlink"/>
    <w:basedOn w:val="DefaultParagraphFont"/>
    <w:uiPriority w:val="99"/>
    <w:unhideWhenUsed/>
    <w:rsid w:val="00672766"/>
    <w:rPr>
      <w:color w:val="0563C1" w:themeColor="hyperlink"/>
      <w:u w:val="single"/>
    </w:rPr>
  </w:style>
  <w:style w:type="character" w:styleId="UnresolvedMention">
    <w:name w:val="Unresolved Mention"/>
    <w:basedOn w:val="DefaultParagraphFont"/>
    <w:uiPriority w:val="99"/>
    <w:semiHidden/>
    <w:unhideWhenUsed/>
    <w:rsid w:val="0067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Mackenzie</dc:creator>
  <cp:keywords/>
  <dc:description/>
  <cp:lastModifiedBy>Alan Mackenzie</cp:lastModifiedBy>
  <cp:revision>1</cp:revision>
  <dcterms:created xsi:type="dcterms:W3CDTF">2021-11-06T14:40:00Z</dcterms:created>
  <dcterms:modified xsi:type="dcterms:W3CDTF">2021-11-06T14:42:00Z</dcterms:modified>
</cp:coreProperties>
</file>